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DC" w:rsidRDefault="00EF6631">
      <w:pPr>
        <w:spacing w:after="739" w:line="259" w:lineRule="auto"/>
        <w:ind w:left="4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2F12DC" w:rsidRDefault="00EF6631">
      <w:pPr>
        <w:spacing w:after="124" w:line="259" w:lineRule="auto"/>
        <w:ind w:left="64" w:firstLine="0"/>
        <w:jc w:val="center"/>
      </w:pPr>
      <w:r>
        <w:rPr>
          <w:b/>
          <w:sz w:val="26"/>
        </w:rPr>
        <w:t xml:space="preserve"> </w:t>
      </w:r>
    </w:p>
    <w:p w:rsidR="002F12DC" w:rsidRDefault="00EF6631">
      <w:pPr>
        <w:spacing w:after="177" w:line="259" w:lineRule="auto"/>
        <w:ind w:right="6"/>
        <w:jc w:val="center"/>
      </w:pPr>
      <w:r>
        <w:rPr>
          <w:b/>
          <w:sz w:val="26"/>
        </w:rPr>
        <w:t xml:space="preserve">GINCANA SOLIDÁRIA UNIFAFIBE CIDADÃ </w:t>
      </w:r>
    </w:p>
    <w:p w:rsidR="002F12DC" w:rsidRDefault="00EF6631">
      <w:pPr>
        <w:spacing w:after="124" w:line="259" w:lineRule="auto"/>
        <w:ind w:right="9"/>
        <w:jc w:val="center"/>
      </w:pPr>
      <w:r>
        <w:rPr>
          <w:b/>
          <w:sz w:val="26"/>
        </w:rPr>
        <w:t xml:space="preserve">Em prol do Hospital Municipal “Júlia Pinto Caldeira” </w:t>
      </w:r>
    </w:p>
    <w:p w:rsidR="002F12DC" w:rsidRDefault="00EF6631">
      <w:pPr>
        <w:spacing w:after="124" w:line="259" w:lineRule="auto"/>
        <w:ind w:left="64" w:firstLine="0"/>
        <w:jc w:val="center"/>
      </w:pPr>
      <w:r>
        <w:rPr>
          <w:b/>
          <w:sz w:val="26"/>
        </w:rPr>
        <w:t xml:space="preserve"> </w:t>
      </w:r>
    </w:p>
    <w:p w:rsidR="002F12DC" w:rsidRDefault="00EF6631">
      <w:pPr>
        <w:spacing w:after="124" w:line="259" w:lineRule="auto"/>
        <w:ind w:right="6"/>
        <w:jc w:val="center"/>
      </w:pPr>
      <w:r>
        <w:rPr>
          <w:b/>
          <w:sz w:val="26"/>
        </w:rPr>
        <w:t xml:space="preserve">REGULAMENTO </w:t>
      </w:r>
    </w:p>
    <w:p w:rsidR="002F12DC" w:rsidRDefault="00EF6631">
      <w:pPr>
        <w:spacing w:after="124" w:line="259" w:lineRule="auto"/>
        <w:ind w:right="6"/>
        <w:jc w:val="center"/>
      </w:pPr>
      <w:r>
        <w:rPr>
          <w:b/>
          <w:sz w:val="26"/>
        </w:rPr>
        <w:t xml:space="preserve">10ª Gincana Solidária UNIFAFIBE Cidadã | 2022 </w:t>
      </w:r>
    </w:p>
    <w:p w:rsidR="002F12DC" w:rsidRDefault="00EF6631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2F12DC" w:rsidRDefault="00EF6631">
      <w:pPr>
        <w:ind w:left="-5"/>
      </w:pPr>
      <w:r>
        <w:t>O presente documento regulamenta a 10</w:t>
      </w:r>
      <w:r>
        <w:t>ª Gincana Solidária UNIFAFIBE Cidadã, do Centro Universitário UNIFAFIBE, que acontecerá no período de 07 de março a 27 de maio de 2022. A Gincana é uma iniciativa que visa à integração e o compromisso acadêmico de união e solidariedade dos universitários e</w:t>
      </w:r>
      <w:r>
        <w:t xml:space="preserve">ntre si e com a comunidade. </w:t>
      </w:r>
    </w:p>
    <w:p w:rsidR="002F12DC" w:rsidRDefault="00EF6631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2F12DC" w:rsidRDefault="00EF6631">
      <w:pPr>
        <w:pStyle w:val="Ttulo1"/>
        <w:ind w:left="139" w:hanging="154"/>
      </w:pPr>
      <w:r>
        <w:t>- Dos participantes</w:t>
      </w:r>
      <w:r>
        <w:rPr>
          <w:b w:val="0"/>
        </w:rPr>
        <w:t xml:space="preserve"> </w:t>
      </w:r>
    </w:p>
    <w:p w:rsidR="002F12DC" w:rsidRDefault="00EF6631">
      <w:pPr>
        <w:ind w:left="-5"/>
      </w:pPr>
      <w:r>
        <w:t xml:space="preserve">Poderão participar da 10ª </w:t>
      </w:r>
      <w:r>
        <w:rPr>
          <w:b/>
        </w:rPr>
        <w:t>GINCANA SOLIDÁRIA UNIFAFIBE CIDADÃ</w:t>
      </w:r>
      <w:r>
        <w:t>, os discentes regularmente matriculados em qualquer curso de graduação e pós-graduação do Centro Universitário UNIFAFIBE, de Bebedouro – SP, pr</w:t>
      </w:r>
      <w:r>
        <w:t xml:space="preserve">ofessores, funcionários e população em geral. </w:t>
      </w:r>
    </w:p>
    <w:p w:rsidR="002F12DC" w:rsidRDefault="00EF6631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2F12DC" w:rsidRDefault="00EF6631">
      <w:pPr>
        <w:pStyle w:val="Ttulo1"/>
        <w:ind w:left="232" w:hanging="247"/>
      </w:pPr>
      <w:r>
        <w:t>- Das inscrições</w:t>
      </w:r>
      <w:r>
        <w:rPr>
          <w:b w:val="0"/>
        </w:rPr>
        <w:t xml:space="preserve"> </w:t>
      </w:r>
    </w:p>
    <w:p w:rsidR="002F12DC" w:rsidRDefault="00EF6631">
      <w:pPr>
        <w:ind w:left="-5"/>
      </w:pPr>
      <w:r>
        <w:t xml:space="preserve">Não será necessário fazer inscrição, pois considerar-se-á inscrito, todo aluno matriculado na Instituição.   </w:t>
      </w:r>
      <w:r>
        <w:t xml:space="preserve">Cada classe será considera uma equipe, que receberá a identificação da classe. Por exemplo: 1º A Administração; 2º Ciências Contábeis, etc.  </w:t>
      </w:r>
    </w:p>
    <w:p w:rsidR="002F12DC" w:rsidRDefault="00EF6631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2F12DC" w:rsidRDefault="00EF6631">
      <w:pPr>
        <w:pStyle w:val="Ttulo1"/>
        <w:ind w:left="326" w:hanging="341"/>
      </w:pPr>
      <w:r>
        <w:t xml:space="preserve">- Da arrecadação de produtos </w:t>
      </w:r>
    </w:p>
    <w:p w:rsidR="002F12DC" w:rsidRDefault="00EF6631">
      <w:pPr>
        <w:ind w:left="-5"/>
      </w:pPr>
      <w:r>
        <w:t>Serão arrecadados produtos de higiene e limpeza em prol do Hospital Municipal "Júl</w:t>
      </w:r>
      <w:r>
        <w:t xml:space="preserve">ia Pinto Caldeira". Cada produto entregue valerá pontos, desde que constante na tabela abaixo, que somados contarão até o limite de 20 horas de atividades complementares para os alunos </w:t>
      </w:r>
      <w:proofErr w:type="gramStart"/>
      <w:r>
        <w:t>participantes</w:t>
      </w:r>
      <w:proofErr w:type="gramEnd"/>
      <w:r>
        <w:t xml:space="preserve">. </w:t>
      </w:r>
    </w:p>
    <w:p w:rsidR="002F12DC" w:rsidRDefault="00EF6631">
      <w:pPr>
        <w:spacing w:after="112" w:line="259" w:lineRule="auto"/>
        <w:ind w:left="0" w:firstLine="0"/>
        <w:jc w:val="left"/>
      </w:pPr>
      <w:r>
        <w:t xml:space="preserve"> </w:t>
      </w:r>
    </w:p>
    <w:p w:rsidR="002F12DC" w:rsidRDefault="00EF6631">
      <w:pPr>
        <w:spacing w:after="115" w:line="259" w:lineRule="auto"/>
        <w:ind w:left="0" w:firstLine="0"/>
        <w:jc w:val="left"/>
      </w:pPr>
      <w:r>
        <w:t xml:space="preserve"> </w:t>
      </w:r>
    </w:p>
    <w:p w:rsidR="002F12DC" w:rsidRDefault="00EF6631">
      <w:pPr>
        <w:spacing w:after="112" w:line="259" w:lineRule="auto"/>
        <w:ind w:left="0" w:firstLine="0"/>
        <w:jc w:val="left"/>
      </w:pPr>
      <w:r>
        <w:t xml:space="preserve"> </w:t>
      </w:r>
    </w:p>
    <w:p w:rsidR="002F12DC" w:rsidRDefault="00EF663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F12DC" w:rsidRDefault="00EF6631">
      <w:pPr>
        <w:spacing w:after="112" w:line="259" w:lineRule="auto"/>
        <w:ind w:left="-5"/>
      </w:pPr>
      <w:r>
        <w:t xml:space="preserve">Os produtos e as respectivas pontuações são as </w:t>
      </w:r>
      <w:r>
        <w:t xml:space="preserve">seguintes: </w:t>
      </w:r>
    </w:p>
    <w:p w:rsidR="002F12DC" w:rsidRDefault="00EF663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941" w:type="dxa"/>
        <w:tblInd w:w="566" w:type="dxa"/>
        <w:tblCellMar>
          <w:top w:w="12" w:type="dxa"/>
          <w:left w:w="8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933"/>
        <w:gridCol w:w="4137"/>
        <w:gridCol w:w="871"/>
      </w:tblGrid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Produto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Unidades/Pacotes/Litros Mínimo de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Pontos </w:t>
            </w:r>
          </w:p>
        </w:tc>
      </w:tr>
      <w:tr w:rsidR="002F12DC">
        <w:trPr>
          <w:trHeight w:val="530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Água Sanitária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(2 litros)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Detergente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4" w:firstLine="0"/>
              <w:jc w:val="center"/>
            </w:pPr>
            <w:r>
              <w:t xml:space="preserve">(01 unidade)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Fralda Geriátrica G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5" w:firstLine="0"/>
              <w:jc w:val="center"/>
            </w:pPr>
            <w:r>
              <w:t xml:space="preserve">(pacote acima de 16 unidades)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70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Fralda Geriátrica G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( pacote com 16 unidades)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40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Fralda Geriátrica G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(pacote com  10 unidades)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</w:tr>
      <w:tr w:rsidR="002F12DC">
        <w:trPr>
          <w:trHeight w:val="530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Fralda Geriátrica G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(pacote com  7/8 unidades)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20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Luvas de procedimento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5" w:firstLine="0"/>
              <w:jc w:val="center"/>
            </w:pPr>
            <w:r>
              <w:t xml:space="preserve">(caixa)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20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Papel higiênico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(pacote acima de 16 rolos)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50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Papel higiênico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3" w:firstLine="0"/>
              <w:jc w:val="center"/>
            </w:pPr>
            <w:r>
              <w:t xml:space="preserve">(pacote com 16 rolos)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Papel higiênico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3" w:firstLine="0"/>
              <w:jc w:val="center"/>
            </w:pPr>
            <w:r>
              <w:t xml:space="preserve">(pacote com 12 rolos)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15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Papel higiênico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(pacote com 8 rolos)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</w:tr>
      <w:tr w:rsidR="002F12DC">
        <w:trPr>
          <w:trHeight w:val="531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Papel higiênico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3" w:firstLine="0"/>
              <w:jc w:val="center"/>
            </w:pPr>
            <w:r>
              <w:t xml:space="preserve">(pacote com 4 rolos)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0" w:firstLine="0"/>
              <w:jc w:val="center"/>
            </w:pPr>
            <w:r>
              <w:t xml:space="preserve">Papel toalha </w:t>
            </w:r>
            <w:proofErr w:type="spellStart"/>
            <w:r>
              <w:t>interfolhado</w:t>
            </w:r>
            <w:proofErr w:type="spellEnd"/>
            <w:r>
              <w:t xml:space="preserve">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5" w:firstLine="0"/>
              <w:jc w:val="center"/>
            </w:pPr>
            <w:r>
              <w:t xml:space="preserve">1.000 unidades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25 </w:t>
            </w:r>
          </w:p>
        </w:tc>
      </w:tr>
      <w:tr w:rsidR="002F12DC">
        <w:trPr>
          <w:trHeight w:val="533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1" w:firstLine="0"/>
              <w:jc w:val="center"/>
            </w:pPr>
            <w:r>
              <w:t xml:space="preserve">Sabão em pó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5" w:firstLine="0"/>
              <w:jc w:val="center"/>
            </w:pPr>
            <w:r>
              <w:t xml:space="preserve">(caixa 1 kg)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2DC" w:rsidRDefault="00EF6631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</w:tr>
    </w:tbl>
    <w:p w:rsidR="002F12DC" w:rsidRDefault="00EF6631">
      <w:pPr>
        <w:spacing w:after="120" w:line="259" w:lineRule="auto"/>
        <w:ind w:left="0" w:firstLine="0"/>
        <w:jc w:val="left"/>
      </w:pPr>
      <w:r>
        <w:t xml:space="preserve"> </w:t>
      </w:r>
    </w:p>
    <w:p w:rsidR="002F12DC" w:rsidRDefault="00EF6631">
      <w:pPr>
        <w:pStyle w:val="Ttulo1"/>
        <w:ind w:left="311" w:hanging="326"/>
      </w:pPr>
      <w:r>
        <w:t>- Da entrega dos Produtos</w:t>
      </w:r>
      <w:r>
        <w:rPr>
          <w:b w:val="0"/>
        </w:rPr>
        <w:t xml:space="preserve"> </w:t>
      </w:r>
    </w:p>
    <w:p w:rsidR="002F12DC" w:rsidRDefault="00EF6631">
      <w:pPr>
        <w:numPr>
          <w:ilvl w:val="0"/>
          <w:numId w:val="1"/>
        </w:numPr>
        <w:ind w:hanging="360"/>
      </w:pPr>
      <w:r>
        <w:t xml:space="preserve">O aluno UNIFAFIBE deverá entregar sua doação, única e exclusivamente, no Centro Universitário UNIFAFIBE, onde terá sua pontuação aferida. </w:t>
      </w:r>
    </w:p>
    <w:p w:rsidR="002F12DC" w:rsidRDefault="00EF6631">
      <w:pPr>
        <w:numPr>
          <w:ilvl w:val="0"/>
          <w:numId w:val="1"/>
        </w:numPr>
        <w:ind w:hanging="360"/>
      </w:pPr>
      <w:r>
        <w:t>A população poderá entregar suas doações no UNIFAFIBE ou nos locais receptores, a serem divulgados, oportunamente.</w:t>
      </w:r>
      <w:r>
        <w:rPr>
          <w:b/>
        </w:rPr>
        <w:t xml:space="preserve"> </w:t>
      </w:r>
    </w:p>
    <w:p w:rsidR="002F12DC" w:rsidRDefault="00EF6631">
      <w:pPr>
        <w:spacing w:after="121" w:line="259" w:lineRule="auto"/>
        <w:ind w:left="0" w:firstLine="0"/>
        <w:jc w:val="left"/>
      </w:pPr>
      <w:r>
        <w:t xml:space="preserve"> </w:t>
      </w:r>
    </w:p>
    <w:p w:rsidR="002F12DC" w:rsidRDefault="00EF6631">
      <w:pPr>
        <w:pStyle w:val="Ttulo1"/>
        <w:spacing w:after="310"/>
        <w:ind w:left="213" w:hanging="228"/>
      </w:pPr>
      <w:r>
        <w:rPr>
          <w:sz w:val="22"/>
        </w:rPr>
        <w:lastRenderedPageBreak/>
        <w:t xml:space="preserve">- </w:t>
      </w:r>
      <w:r>
        <w:t xml:space="preserve">Da Pontuação e do Resultado </w:t>
      </w:r>
    </w:p>
    <w:p w:rsidR="002F12DC" w:rsidRDefault="00EF6631">
      <w:pPr>
        <w:spacing w:after="110"/>
        <w:ind w:left="-5"/>
      </w:pPr>
      <w:r>
        <w:t xml:space="preserve">A pontuação final de cada equipe será composta pela somatória dos pontos obtidos pela entrega de material conforme consta na relação acima, considerando a entrega de cada membro da equipe. </w:t>
      </w:r>
    </w:p>
    <w:p w:rsidR="002F12DC" w:rsidRDefault="00EF6631">
      <w:pPr>
        <w:ind w:left="-5"/>
      </w:pPr>
      <w:r>
        <w:t>Cada aluno receberá pontos individ</w:t>
      </w:r>
      <w:r>
        <w:t xml:space="preserve">ualmente sendo beneficiado com Atividades Complementares de acordo com a tabela de pontuação abaixo, ressaltando que quanto maior a arrecadação da equipe maior a atribuição de horas: </w:t>
      </w:r>
    </w:p>
    <w:p w:rsidR="002F12DC" w:rsidRDefault="00EF663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767" w:type="dxa"/>
        <w:tblInd w:w="1152" w:type="dxa"/>
        <w:tblCellMar>
          <w:top w:w="2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097"/>
        <w:gridCol w:w="382"/>
        <w:gridCol w:w="2139"/>
        <w:gridCol w:w="1832"/>
      </w:tblGrid>
      <w:tr w:rsidR="002F12DC">
        <w:trPr>
          <w:trHeight w:val="37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F12DC" w:rsidRDefault="00EF6631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12DC" w:rsidRDefault="00EF6631">
            <w:pPr>
              <w:spacing w:after="0" w:line="259" w:lineRule="auto"/>
              <w:ind w:left="35" w:firstLine="0"/>
            </w:pPr>
            <w:r>
              <w:rPr>
                <w:b/>
              </w:rPr>
              <w:t xml:space="preserve">Pontuação Mínima -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12DC" w:rsidRDefault="00EF6631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Pontuação Máxima Total de Hora(s) </w:t>
            </w:r>
          </w:p>
        </w:tc>
      </w:tr>
      <w:tr w:rsidR="002F12DC">
        <w:trPr>
          <w:trHeight w:val="381"/>
        </w:trPr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12DC" w:rsidRDefault="00EF66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DC" w:rsidRDefault="00EF6631">
            <w:pPr>
              <w:tabs>
                <w:tab w:val="center" w:pos="1012"/>
                <w:tab w:val="right" w:pos="24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20 </w:t>
            </w:r>
            <w:r>
              <w:rPr>
                <w:b/>
              </w:rPr>
              <w:tab/>
              <w:t>até</w:t>
            </w:r>
            <w:r>
              <w:rPr>
                <w:b/>
              </w:rPr>
              <w:t xml:space="preserve"> 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12DC" w:rsidRDefault="00EF6631">
            <w:pPr>
              <w:tabs>
                <w:tab w:val="center" w:pos="1032"/>
                <w:tab w:val="center" w:pos="30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60 </w:t>
            </w:r>
            <w:r>
              <w:rPr>
                <w:b/>
              </w:rPr>
              <w:tab/>
              <w:t xml:space="preserve">5h </w:t>
            </w:r>
          </w:p>
        </w:tc>
      </w:tr>
      <w:tr w:rsidR="002F12DC">
        <w:trPr>
          <w:trHeight w:val="338"/>
        </w:trPr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61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até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10h </w:t>
            </w:r>
          </w:p>
        </w:tc>
      </w:tr>
      <w:tr w:rsidR="002F12DC">
        <w:trPr>
          <w:trHeight w:val="401"/>
        </w:trPr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12DC" w:rsidRDefault="00EF66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DC" w:rsidRDefault="00EF6631">
            <w:pPr>
              <w:tabs>
                <w:tab w:val="center" w:pos="1012"/>
                <w:tab w:val="right" w:pos="24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101 </w:t>
            </w:r>
            <w:r>
              <w:rPr>
                <w:b/>
              </w:rPr>
              <w:tab/>
              <w:t xml:space="preserve">até 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12DC" w:rsidRDefault="00EF6631">
            <w:pPr>
              <w:tabs>
                <w:tab w:val="center" w:pos="1032"/>
                <w:tab w:val="center" w:pos="30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140 </w:t>
            </w:r>
            <w:r>
              <w:rPr>
                <w:b/>
              </w:rPr>
              <w:tab/>
              <w:t xml:space="preserve">15h </w:t>
            </w:r>
          </w:p>
        </w:tc>
      </w:tr>
      <w:tr w:rsidR="002F12DC">
        <w:trPr>
          <w:trHeight w:val="365"/>
        </w:trPr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141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até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.......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12DC" w:rsidRDefault="00EF663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20h </w:t>
            </w:r>
          </w:p>
        </w:tc>
      </w:tr>
    </w:tbl>
    <w:p w:rsidR="002F12DC" w:rsidRDefault="00EF6631">
      <w:pPr>
        <w:ind w:left="-5"/>
      </w:pPr>
      <w:r>
        <w:t xml:space="preserve">Os 10 alunos que conseguirem maior pontuação advinda da somatória dos pontos das doações receberão mimos. </w:t>
      </w:r>
    </w:p>
    <w:p w:rsidR="002F12DC" w:rsidRDefault="00EF6631">
      <w:pPr>
        <w:spacing w:after="117" w:line="259" w:lineRule="auto"/>
        <w:ind w:left="-5"/>
      </w:pPr>
      <w:r>
        <w:t xml:space="preserve">A classe (equipe) que atingir a maior pontuação será declarada vencedora e </w:t>
      </w:r>
      <w:proofErr w:type="gramStart"/>
      <w:r>
        <w:t>receberá  troféu</w:t>
      </w:r>
      <w:proofErr w:type="gramEnd"/>
      <w:r>
        <w:t xml:space="preserve">. </w:t>
      </w:r>
    </w:p>
    <w:p w:rsidR="002F12DC" w:rsidRPr="000C5865" w:rsidRDefault="00EF6631" w:rsidP="000C5865">
      <w:pPr>
        <w:spacing w:line="354" w:lineRule="auto"/>
        <w:ind w:left="0" w:firstLine="0"/>
        <w:jc w:val="center"/>
        <w:rPr>
          <w:b/>
        </w:rPr>
      </w:pPr>
      <w:r>
        <w:rPr>
          <w:b/>
        </w:rPr>
        <w:t>Obs.: Cada aluno participante poderá acompanhar sua pontuação pelo</w:t>
      </w:r>
      <w:r w:rsidR="00E00A40">
        <w:rPr>
          <w:b/>
        </w:rPr>
        <w:t xml:space="preserve"> portal do aluno na aba Gincana Cidadã.</w:t>
      </w:r>
      <w:bookmarkStart w:id="0" w:name="_GoBack"/>
      <w:bookmarkEnd w:id="0"/>
    </w:p>
    <w:p w:rsidR="002F12DC" w:rsidRDefault="00EF6631">
      <w:pPr>
        <w:pStyle w:val="Ttulo1"/>
        <w:ind w:left="311" w:hanging="326"/>
      </w:pPr>
      <w:r>
        <w:t xml:space="preserve">- Das Penalidades </w:t>
      </w:r>
    </w:p>
    <w:p w:rsidR="002F12DC" w:rsidRDefault="00EF6631">
      <w:pPr>
        <w:spacing w:after="116" w:line="259" w:lineRule="auto"/>
        <w:ind w:left="-5"/>
      </w:pPr>
      <w:r>
        <w:t xml:space="preserve">Serão responsabilizados os universitários e/ou equipes que: </w:t>
      </w:r>
    </w:p>
    <w:p w:rsidR="002F12DC" w:rsidRDefault="00EF6631">
      <w:pPr>
        <w:numPr>
          <w:ilvl w:val="0"/>
          <w:numId w:val="2"/>
        </w:numPr>
        <w:spacing w:after="119" w:line="259" w:lineRule="auto"/>
        <w:ind w:hanging="355"/>
      </w:pPr>
      <w:proofErr w:type="gramStart"/>
      <w:r>
        <w:t>prejudicarem</w:t>
      </w:r>
      <w:proofErr w:type="gramEnd"/>
      <w:r>
        <w:t xml:space="preserve"> as outras equipes de alguma forma. </w:t>
      </w:r>
    </w:p>
    <w:p w:rsidR="002F12DC" w:rsidRDefault="00EF6631">
      <w:pPr>
        <w:numPr>
          <w:ilvl w:val="0"/>
          <w:numId w:val="2"/>
        </w:numPr>
        <w:ind w:hanging="355"/>
      </w:pPr>
      <w:proofErr w:type="gramStart"/>
      <w:r>
        <w:t>atentarem</w:t>
      </w:r>
      <w:proofErr w:type="gramEnd"/>
      <w:r>
        <w:t xml:space="preserve"> contra a integridade física e/ou moral de qualquer membro da comunidade interna ou externa. </w:t>
      </w:r>
    </w:p>
    <w:p w:rsidR="002F12DC" w:rsidRDefault="00EF6631">
      <w:pPr>
        <w:numPr>
          <w:ilvl w:val="0"/>
          <w:numId w:val="2"/>
        </w:numPr>
        <w:ind w:hanging="355"/>
      </w:pPr>
      <w:proofErr w:type="gramStart"/>
      <w:r>
        <w:t>apresentar</w:t>
      </w:r>
      <w:proofErr w:type="gramEnd"/>
      <w:r>
        <w:t xml:space="preserve"> </w:t>
      </w:r>
      <w:r>
        <w:tab/>
        <w:t xml:space="preserve">comportamento </w:t>
      </w:r>
      <w:r>
        <w:tab/>
        <w:t xml:space="preserve">considerado </w:t>
      </w:r>
      <w:r>
        <w:tab/>
        <w:t xml:space="preserve">eticamente </w:t>
      </w:r>
      <w:r>
        <w:tab/>
        <w:t xml:space="preserve">inadequado </w:t>
      </w:r>
      <w:r>
        <w:tab/>
        <w:t xml:space="preserve">ferindo </w:t>
      </w:r>
      <w:r>
        <w:tab/>
        <w:t xml:space="preserve">este regulamento. </w:t>
      </w:r>
    </w:p>
    <w:p w:rsidR="002F12DC" w:rsidRDefault="00EF6631">
      <w:pPr>
        <w:numPr>
          <w:ilvl w:val="0"/>
          <w:numId w:val="2"/>
        </w:numPr>
        <w:spacing w:after="116" w:line="259" w:lineRule="auto"/>
        <w:ind w:hanging="355"/>
      </w:pPr>
      <w:proofErr w:type="gramStart"/>
      <w:r>
        <w:t>praticar</w:t>
      </w:r>
      <w:proofErr w:type="gramEnd"/>
      <w:r>
        <w:t xml:space="preserve"> qualquer ato considerado como trote violento. </w:t>
      </w:r>
    </w:p>
    <w:p w:rsidR="002F12DC" w:rsidRDefault="00EF6631">
      <w:pPr>
        <w:numPr>
          <w:ilvl w:val="0"/>
          <w:numId w:val="2"/>
        </w:numPr>
        <w:ind w:hanging="355"/>
      </w:pPr>
      <w:proofErr w:type="gramStart"/>
      <w:r>
        <w:t>prati</w:t>
      </w:r>
      <w:r>
        <w:t>car</w:t>
      </w:r>
      <w:proofErr w:type="gramEnd"/>
      <w:r>
        <w:t xml:space="preserve"> qualquer crime ou contravenção penal, passível de registro policial e providências judiciais cabíveis por parte da IES. </w:t>
      </w:r>
    </w:p>
    <w:p w:rsidR="002F12DC" w:rsidRDefault="00EF6631">
      <w:pPr>
        <w:spacing w:after="120" w:line="259" w:lineRule="auto"/>
        <w:ind w:left="0" w:firstLine="0"/>
        <w:jc w:val="left"/>
      </w:pPr>
      <w:r>
        <w:t xml:space="preserve"> </w:t>
      </w:r>
    </w:p>
    <w:p w:rsidR="002F12DC" w:rsidRDefault="00EF6631">
      <w:pPr>
        <w:pStyle w:val="Ttulo1"/>
        <w:ind w:left="465" w:hanging="480"/>
      </w:pPr>
      <w:r>
        <w:t xml:space="preserve">- Da concordância expressa </w:t>
      </w:r>
    </w:p>
    <w:p w:rsidR="002F12DC" w:rsidRDefault="00EF6631">
      <w:pPr>
        <w:ind w:left="-5"/>
      </w:pPr>
      <w:r>
        <w:t>Todo participante adere a todas as previsões deste regulamento não podendo alegar ignorância ou recor</w:t>
      </w:r>
      <w:r>
        <w:t xml:space="preserve">rer a qualquer órgão diretivo/acadêmico da IES.  </w:t>
      </w:r>
    </w:p>
    <w:p w:rsidR="002F12DC" w:rsidRDefault="00EF6631">
      <w:pPr>
        <w:spacing w:after="120" w:line="259" w:lineRule="auto"/>
        <w:ind w:left="0" w:firstLine="0"/>
        <w:jc w:val="left"/>
      </w:pPr>
      <w:r>
        <w:t xml:space="preserve"> </w:t>
      </w:r>
    </w:p>
    <w:p w:rsidR="002F12DC" w:rsidRDefault="00EF6631">
      <w:pPr>
        <w:pStyle w:val="Ttulo1"/>
        <w:numPr>
          <w:ilvl w:val="0"/>
          <w:numId w:val="0"/>
        </w:numPr>
        <w:ind w:left="-5"/>
      </w:pPr>
      <w:r>
        <w:lastRenderedPageBreak/>
        <w:t xml:space="preserve">Profa. Me. Iná Izabel Faria Soares de Oliveira                      Prof. Me. Rafael </w:t>
      </w:r>
      <w:proofErr w:type="spellStart"/>
      <w:r>
        <w:t>Catani</w:t>
      </w:r>
      <w:proofErr w:type="spellEnd"/>
      <w:r>
        <w:t xml:space="preserve"> Lima                               Reitora                                                                </w:t>
      </w:r>
      <w:proofErr w:type="gramStart"/>
      <w:r>
        <w:t>Pró Re</w:t>
      </w:r>
      <w:r>
        <w:t>itor</w:t>
      </w:r>
      <w:proofErr w:type="gramEnd"/>
      <w:r>
        <w:t xml:space="preserve"> Acadêmico  </w:t>
      </w:r>
    </w:p>
    <w:p w:rsidR="002F12DC" w:rsidRDefault="00EF6631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sectPr w:rsidR="002F12DC">
      <w:headerReference w:type="even" r:id="rId7"/>
      <w:headerReference w:type="default" r:id="rId8"/>
      <w:headerReference w:type="first" r:id="rId9"/>
      <w:pgSz w:w="11906" w:h="16838"/>
      <w:pgMar w:top="749" w:right="1131" w:bottom="179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31" w:rsidRDefault="00EF6631">
      <w:pPr>
        <w:spacing w:after="0" w:line="240" w:lineRule="auto"/>
      </w:pPr>
      <w:r>
        <w:separator/>
      </w:r>
    </w:p>
  </w:endnote>
  <w:endnote w:type="continuationSeparator" w:id="0">
    <w:p w:rsidR="00EF6631" w:rsidRDefault="00EF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31" w:rsidRDefault="00EF6631">
      <w:pPr>
        <w:spacing w:after="0" w:line="240" w:lineRule="auto"/>
      </w:pPr>
      <w:r>
        <w:separator/>
      </w:r>
    </w:p>
  </w:footnote>
  <w:footnote w:type="continuationSeparator" w:id="0">
    <w:p w:rsidR="00EF6631" w:rsidRDefault="00EF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DC" w:rsidRDefault="00EF66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38100</wp:posOffset>
              </wp:positionH>
              <wp:positionV relativeFrom="page">
                <wp:posOffset>0</wp:posOffset>
              </wp:positionV>
              <wp:extent cx="7429500" cy="10439400"/>
              <wp:effectExtent l="0" t="0" r="0" b="0"/>
              <wp:wrapNone/>
              <wp:docPr id="5630" name="Group 5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0" cy="10439400"/>
                        <a:chOff x="0" y="0"/>
                        <a:chExt cx="7429500" cy="10439400"/>
                      </a:xfrm>
                    </wpg:grpSpPr>
                    <pic:pic xmlns:pic="http://schemas.openxmlformats.org/drawingml/2006/picture">
                      <pic:nvPicPr>
                        <pic:cNvPr id="5631" name="Picture 5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0"/>
                          <a:ext cx="7434072" cy="104394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30" style="width:585pt;height:822pt;position:absolute;z-index:-2147483648;mso-position-horizontal-relative:page;mso-position-horizontal:absolute;margin-left:3pt;mso-position-vertical-relative:page;margin-top:0pt;" coordsize="74295,104394">
              <v:shape id="Picture 5631" style="position:absolute;width:74340;height:104394;left:-45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DC" w:rsidRDefault="00EF66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38100</wp:posOffset>
              </wp:positionH>
              <wp:positionV relativeFrom="page">
                <wp:posOffset>0</wp:posOffset>
              </wp:positionV>
              <wp:extent cx="7429500" cy="10439400"/>
              <wp:effectExtent l="0" t="0" r="0" b="0"/>
              <wp:wrapNone/>
              <wp:docPr id="5627" name="Group 5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0" cy="10439400"/>
                        <a:chOff x="0" y="0"/>
                        <a:chExt cx="7429500" cy="10439400"/>
                      </a:xfrm>
                    </wpg:grpSpPr>
                    <pic:pic xmlns:pic="http://schemas.openxmlformats.org/drawingml/2006/picture">
                      <pic:nvPicPr>
                        <pic:cNvPr id="5628" name="Picture 5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0"/>
                          <a:ext cx="7434072" cy="104394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7" style="width:585pt;height:822pt;position:absolute;z-index:-2147483648;mso-position-horizontal-relative:page;mso-position-horizontal:absolute;margin-left:3pt;mso-position-vertical-relative:page;margin-top:0pt;" coordsize="74295,104394">
              <v:shape id="Picture 5628" style="position:absolute;width:74340;height:104394;left:-45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DC" w:rsidRDefault="00EF66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38100</wp:posOffset>
              </wp:positionH>
              <wp:positionV relativeFrom="page">
                <wp:posOffset>0</wp:posOffset>
              </wp:positionV>
              <wp:extent cx="7429500" cy="10439400"/>
              <wp:effectExtent l="0" t="0" r="0" b="0"/>
              <wp:wrapNone/>
              <wp:docPr id="5624" name="Group 5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0" cy="10439400"/>
                        <a:chOff x="0" y="0"/>
                        <a:chExt cx="7429500" cy="10439400"/>
                      </a:xfrm>
                    </wpg:grpSpPr>
                    <pic:pic xmlns:pic="http://schemas.openxmlformats.org/drawingml/2006/picture">
                      <pic:nvPicPr>
                        <pic:cNvPr id="5625" name="Picture 5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0"/>
                          <a:ext cx="7434072" cy="104394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4" style="width:585pt;height:822pt;position:absolute;z-index:-2147483648;mso-position-horizontal-relative:page;mso-position-horizontal:absolute;margin-left:3pt;mso-position-vertical-relative:page;margin-top:0pt;" coordsize="74295,104394">
              <v:shape id="Picture 5625" style="position:absolute;width:74340;height:104394;left:-45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81E"/>
    <w:multiLevelType w:val="hybridMultilevel"/>
    <w:tmpl w:val="2FD66EA0"/>
    <w:lvl w:ilvl="0" w:tplc="81A29A1E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839D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08E5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27E1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64C6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65ED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6BA7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798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AB86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4385B"/>
    <w:multiLevelType w:val="hybridMultilevel"/>
    <w:tmpl w:val="560EE16E"/>
    <w:lvl w:ilvl="0" w:tplc="E31C6334">
      <w:start w:val="1"/>
      <w:numFmt w:val="upperRoman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0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A5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01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28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6F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CF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E3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09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A1605E"/>
    <w:multiLevelType w:val="hybridMultilevel"/>
    <w:tmpl w:val="62D4EF32"/>
    <w:lvl w:ilvl="0" w:tplc="EB3AA7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803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8EE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4CA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C21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0AB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E10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ED8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86F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DC"/>
    <w:rsid w:val="000C5865"/>
    <w:rsid w:val="002F12DC"/>
    <w:rsid w:val="00E00A40"/>
    <w:rsid w:val="00E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8E4"/>
  <w15:docId w15:val="{D7C64A79-FF0A-4EE6-B1AF-448E504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11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cp:lastModifiedBy>Monise Adriana Viotto dos Santos</cp:lastModifiedBy>
  <cp:revision>3</cp:revision>
  <dcterms:created xsi:type="dcterms:W3CDTF">2022-03-11T00:22:00Z</dcterms:created>
  <dcterms:modified xsi:type="dcterms:W3CDTF">2022-03-11T00:23:00Z</dcterms:modified>
</cp:coreProperties>
</file>